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48D8DC">
      <w:pPr>
        <w:jc w:val="both"/>
        <w:rPr>
          <w:rFonts w:hint="eastAsia" w:ascii="方正小标宋简体" w:hAnsi="方正小标宋简体" w:eastAsia="方正小标宋简体" w:cs="方正小标宋简体"/>
          <w:b w:val="0"/>
          <w:bCs w:val="0"/>
          <w:sz w:val="32"/>
          <w:szCs w:val="32"/>
        </w:rPr>
      </w:pPr>
    </w:p>
    <w:p w14:paraId="23EAB15B"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“房屋体检师”培训课程介绍</w:t>
      </w:r>
    </w:p>
    <w:p w14:paraId="1FB0C8D3">
      <w:pPr>
        <w:pStyle w:val="2"/>
        <w:rPr>
          <w:rFonts w:hint="eastAsia"/>
        </w:rPr>
      </w:pPr>
    </w:p>
    <w:p w14:paraId="7DA2AF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2025年7月15日</w:t>
      </w:r>
      <w:r>
        <w:rPr>
          <w:rFonts w:hint="eastAsia" w:ascii="仿宋_GB2312" w:hAnsi="仿宋_GB2312" w:eastAsia="仿宋_GB2312" w:cs="仿宋_GB2312"/>
          <w:sz w:val="32"/>
          <w:szCs w:val="32"/>
        </w:rPr>
        <w:t>，《中央城市工作会议在北京举行 习近平发表重要讲话》会议强调全面贯彻习近平总书记关于城市工作的重要论述，坚持和加强党的全面领导，认真践行人民城市理念，坚持稳中求进工作总基调，坚持因地制宜、分类指导，以建设创新、宜居、美丽、韧性、文明、智慧的现代化人民城市为目标，以推动城市高质量发展为主题，以坚持城市内涵式发展为主线，以推进城市更新为重要抓手，大力推动城市结构优化、动能转换、品质提升、绿色转型、文脉赓续、治理增效，牢牢守住城市安全底线，走出一条中国特色城市现代化新路子。</w:t>
      </w:r>
    </w:p>
    <w:p w14:paraId="652353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2025年5月15日，中共中央办公厅、国务院办公厅发布《关于持续推进城市更新行动的意见》，意见要求建立房屋使用全生命周期安全管理制度。落实房屋使用安全主体责任和监管责任，加强房屋安全日常巡查和安全体检，及时发现和处置安全隐患。</w:t>
      </w:r>
    </w:p>
    <w:p w14:paraId="174843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2024年12月《全国住房城乡建设工作会议》住房城乡建设部党组书记、部长倪虹同志指出：——大力实施城市更新。坚持“先体检、后更新，无体检、不更新”，建立城市体检和城市更新一体化推进机制。</w:t>
      </w:r>
    </w:p>
    <w:p w14:paraId="4A6490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2025年4月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3日</w:t>
      </w:r>
      <w:r>
        <w:rPr>
          <w:rFonts w:hint="eastAsia" w:ascii="仿宋_GB2312" w:hAnsi="仿宋_GB2312" w:eastAsia="仿宋_GB2312" w:cs="仿宋_GB2312"/>
          <w:sz w:val="32"/>
          <w:szCs w:val="32"/>
        </w:rPr>
        <w:t>财政部办公厅、住房城乡建设部办公厅发布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的《</w:t>
      </w:r>
      <w:r>
        <w:rPr>
          <w:rFonts w:hint="eastAsia" w:ascii="仿宋_GB2312" w:hAnsi="仿宋_GB2312" w:eastAsia="仿宋_GB2312" w:cs="仿宋_GB2312"/>
          <w:sz w:val="32"/>
          <w:szCs w:val="32"/>
        </w:rPr>
        <w:t>关于开展2025年度中央财政支持实施城市更新行动的通知》指出中央财政支持实施城市更新行动的通知。意见中明确财政补助标准和支持范围包括但不限于城市体检、城市更新专项规划、房屋全生命周期安全管理、城市更新项目储备库建设、建设成效后评估机制等。</w:t>
      </w:r>
    </w:p>
    <w:p w14:paraId="0F1417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积极响应2025年中央城市工作会议关于“牢牢守住城市安全底线，以城市更新为重要抓手推进韧性城市建设”的核心部署，全面落实中共中央办公厅、国务院办公厅《关于持续推进城市更新行动的意见》中“建立房屋全生命周期安全管理制度”的刚性要求，贯彻住建部“先体检、后更新，无体检、不更新”​（2024年全国住房城乡建设工作会议）的行动准则，并紧扣财政部、住建部《关于开展2025年度中央财政支持实施城市更新行动的通知》对“房屋体检纳入中央财政专项补助范围”的资金保障机制，中国灾害防御协会决定开展《房屋体检师》专项能力培训及考试工作，旨在为行业输送具备房屋结构安全诊断、智能检测技术应用及全流程合规操作能力的专业化技术人才，助力城市更新行动科学化、标准化推进。</w:t>
      </w:r>
    </w:p>
    <w:p w14:paraId="10D6CCE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职业定义</w:t>
      </w:r>
    </w:p>
    <w:p w14:paraId="1B7FFC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房屋体检师是具备建筑相关专业知识与实践经验，能运用专业设备及技术手段，对房屋结构安全、使用性能、设备设施、环境质量等进行评估的专业人员。</w:t>
      </w:r>
    </w:p>
    <w:p w14:paraId="17F5972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培养目标</w:t>
      </w:r>
    </w:p>
    <w:p w14:paraId="43B391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知识传递：</w:t>
      </w:r>
      <w:r>
        <w:rPr>
          <w:rFonts w:hint="eastAsia" w:ascii="仿宋_GB2312" w:hAnsi="仿宋_GB2312" w:eastAsia="仿宋_GB2312" w:cs="仿宋_GB2312"/>
          <w:sz w:val="32"/>
          <w:szCs w:val="32"/>
        </w:rPr>
        <w:t>涵盖建筑多学科基础理论，如建筑学、土木工程、给排水工程、电气工程等知识，让学员理解房屋各系统运行机制；讲授房屋体检专业知识，包括检测标准、检测方法原理及优缺点，帮助学员精准选择检测方法。</w:t>
      </w:r>
    </w:p>
    <w:p w14:paraId="5AF4C8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技能培养：</w:t>
      </w:r>
      <w:r>
        <w:rPr>
          <w:rFonts w:hint="eastAsia" w:ascii="仿宋_GB2312" w:hAnsi="仿宋_GB2312" w:eastAsia="仿宋_GB2312" w:cs="仿宋_GB2312"/>
          <w:sz w:val="32"/>
          <w:szCs w:val="32"/>
        </w:rPr>
        <w:t>通过教材指导，学员熟练掌握检测仪器操作方法，学会房屋各部位检测要点和技巧，提升问题分析与解决能力，能够根据检测数据和现场情况分析问题原因，并制定有效解决方案。</w:t>
      </w:r>
    </w:p>
    <w:p w14:paraId="7BC20F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职业素养塑造：</w:t>
      </w:r>
      <w:r>
        <w:rPr>
          <w:rFonts w:hint="eastAsia" w:ascii="仿宋_GB2312" w:hAnsi="仿宋_GB2312" w:eastAsia="仿宋_GB2312" w:cs="仿宋_GB2312"/>
          <w:sz w:val="32"/>
          <w:szCs w:val="32"/>
        </w:rPr>
        <w:t>明确职业道德准则，强调诚信、公正、客观，培养学员对房屋安全的高度责任感，融入安全操作规范和应急处理措施，确保检测过程安全。</w:t>
      </w:r>
    </w:p>
    <w:p w14:paraId="5EE205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行业标准与法规</w:t>
      </w:r>
      <w:r>
        <w:rPr>
          <w:rFonts w:hint="eastAsia" w:ascii="仿宋_GB2312" w:hAnsi="仿宋_GB2312" w:eastAsia="仿宋_GB2312" w:cs="仿宋_GB2312"/>
          <w:sz w:val="32"/>
          <w:szCs w:val="32"/>
        </w:rPr>
        <w:t>：学员全面熟悉国家和地方房屋检测标准、规范及相关法律法规，严格按标准检测评估，推动行业标准化发展，减少检测差异和质量问题，提升行业公信力。</w:t>
      </w:r>
    </w:p>
    <w:p w14:paraId="1FF4ED5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培养人群</w:t>
      </w:r>
    </w:p>
    <w:p w14:paraId="12422F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建筑设计、施工、装饰装修相关人员：通过培训掌握前沿检测技术与方法，精准对接房屋体检需求。</w:t>
      </w:r>
    </w:p>
    <w:p w14:paraId="1012BB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物业管理及维修人员：通过培训掌握房屋体检知识，日常巡检可精准发现维修问题，延长房屋寿命。</w:t>
      </w:r>
    </w:p>
    <w:p w14:paraId="39BB20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建筑工程检验检测从业人员：借助教材学习先进技术、设备操作及标准体系，更新知识，优化流程，保障检测数据可靠。</w:t>
      </w:r>
    </w:p>
    <w:p w14:paraId="5ADDB2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建筑质量监督人员：培训提供房屋体检标准流程，辅助其科学监督，保障建筑质量安全。</w:t>
      </w:r>
    </w:p>
    <w:p w14:paraId="061D23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地产公司开发商：通过培训了解房屋体检要点与趋势，优化开发流程，打造优质项目，提升竞争力。</w:t>
      </w:r>
    </w:p>
    <w:p w14:paraId="26F4C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房产中介：通过培训掌握房屋质量评估知识，在交易中专业解读信息，增强信任，提升成交率，减少纠纷。</w:t>
      </w:r>
    </w:p>
    <w:p w14:paraId="1851F7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在校学生：培训助力提前接触实践，弥补课程不足，构建知识框架，明确方向，储备技能，适应职场。</w:t>
      </w:r>
    </w:p>
    <w:p w14:paraId="651EA1A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课程大纲</w:t>
      </w:r>
    </w:p>
    <w:p w14:paraId="632C6D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第一章 绪论</w:t>
      </w:r>
    </w:p>
    <w:p w14:paraId="3A67BA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1.1教材编制背景</w:t>
      </w:r>
    </w:p>
    <w:p w14:paraId="3873CE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1.2房屋体检师培养目标</w:t>
      </w:r>
    </w:p>
    <w:p w14:paraId="4DD869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1.3房屋体检师培训的意义</w:t>
      </w:r>
    </w:p>
    <w:p w14:paraId="025C9F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1.4房屋体检相关法律法规</w:t>
      </w:r>
    </w:p>
    <w:p w14:paraId="3658E0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1.5房屋体检相关标准规范</w:t>
      </w:r>
    </w:p>
    <w:p w14:paraId="0AB16A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第二章 房屋体检基础</w:t>
      </w:r>
    </w:p>
    <w:p w14:paraId="534AE7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2.1房屋体检概述</w:t>
      </w:r>
    </w:p>
    <w:p w14:paraId="7BB03D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2.2建筑材料基础</w:t>
      </w:r>
    </w:p>
    <w:p w14:paraId="3321E5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2.3建筑结构基础</w:t>
      </w:r>
    </w:p>
    <w:p w14:paraId="366B3C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2.4建筑设备设施系统基础</w:t>
      </w:r>
    </w:p>
    <w:p w14:paraId="4B0737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2.5室内环境基础</w:t>
      </w:r>
    </w:p>
    <w:p w14:paraId="6EF910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第三章 房屋体检的流程与方法</w:t>
      </w:r>
    </w:p>
    <w:p w14:paraId="64087D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3.1房屋体检的前期准备工作</w:t>
      </w:r>
    </w:p>
    <w:p w14:paraId="34BAA6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3.2现场调查与检测阶段</w:t>
      </w:r>
    </w:p>
    <w:p w14:paraId="779215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3.3分析与评估阶段</w:t>
      </w:r>
    </w:p>
    <w:p w14:paraId="3A4529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3.4报告编制与反馈阶段</w:t>
      </w:r>
    </w:p>
    <w:p w14:paraId="0A5C1F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第四章 外观检测与诊断</w:t>
      </w:r>
    </w:p>
    <w:p w14:paraId="0B2882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4.1裂缝、渗漏、变形等问题的肉眼检查方法</w:t>
      </w:r>
    </w:p>
    <w:p w14:paraId="2C3522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4.2外观缺陷记录与分类</w:t>
      </w:r>
    </w:p>
    <w:p w14:paraId="0D8AFA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第五章 材料</w:t>
      </w:r>
    </w:p>
    <w:p w14:paraId="27A7B7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5.1常见材料的检测</w:t>
      </w:r>
    </w:p>
    <w:p w14:paraId="684660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5.2混凝土强度检测</w:t>
      </w:r>
    </w:p>
    <w:p w14:paraId="6EE82A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5.3砌体强度测试</w:t>
      </w:r>
    </w:p>
    <w:p w14:paraId="5BC5B8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5.4砂浆抗压强度检测</w:t>
      </w:r>
    </w:p>
    <w:p w14:paraId="4B550D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5.5钢筋保护层厚度、钢筋分布、钢筋锈蚀检测</w:t>
      </w:r>
    </w:p>
    <w:p w14:paraId="18E596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5.6防水层与保温层性能检测</w:t>
      </w:r>
    </w:p>
    <w:p w14:paraId="3AC90C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5.7检测数据分析与处理</w:t>
      </w:r>
    </w:p>
    <w:p w14:paraId="4DE98F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第六章 结构构件</w:t>
      </w:r>
    </w:p>
    <w:p w14:paraId="143813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6.1资料核查</w:t>
      </w:r>
    </w:p>
    <w:p w14:paraId="464CBF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6.2非破损检测技术</w:t>
      </w:r>
    </w:p>
    <w:p w14:paraId="095B08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6.3基础检测与评估</w:t>
      </w:r>
    </w:p>
    <w:p w14:paraId="0459A5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6.4主体结构变形与评估</w:t>
      </w:r>
    </w:p>
    <w:p w14:paraId="7E253B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6.5数据采集与记录分析</w:t>
      </w:r>
    </w:p>
    <w:p w14:paraId="757120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第七章 非结构构件</w:t>
      </w:r>
    </w:p>
    <w:p w14:paraId="0FEEC4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7.1资料核查</w:t>
      </w:r>
    </w:p>
    <w:p w14:paraId="55E476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7.2门窗检测</w:t>
      </w:r>
    </w:p>
    <w:p w14:paraId="38919B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7.3幕墙检测</w:t>
      </w:r>
    </w:p>
    <w:p w14:paraId="44FBE2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7.4屋顶结构检测</w:t>
      </w:r>
    </w:p>
    <w:p w14:paraId="0E2CFC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7.5外饰面检测</w:t>
      </w:r>
    </w:p>
    <w:p w14:paraId="6ED9D6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7.6吊顶检测</w:t>
      </w:r>
    </w:p>
    <w:p w14:paraId="361407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7.7栏杆和扶手检测</w:t>
      </w:r>
    </w:p>
    <w:p w14:paraId="397508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7.8雨篷检测</w:t>
      </w:r>
    </w:p>
    <w:p w14:paraId="59D990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7.9装饰线条检测</w:t>
      </w:r>
    </w:p>
    <w:p w14:paraId="0A84F5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7.10非结构构件评估</w:t>
      </w:r>
    </w:p>
    <w:p w14:paraId="29D524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7.11检查记录</w:t>
      </w:r>
    </w:p>
    <w:p w14:paraId="70F30E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第八章 设备设施及管线</w:t>
      </w:r>
    </w:p>
    <w:p w14:paraId="37772F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8.1资料核查</w:t>
      </w:r>
    </w:p>
    <w:p w14:paraId="72644C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8.2给排水系统检测</w:t>
      </w:r>
    </w:p>
    <w:p w14:paraId="0CDAC8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8.3电气系统检测</w:t>
      </w:r>
    </w:p>
    <w:p w14:paraId="405DA2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8.4暖通空调系统检测</w:t>
      </w:r>
    </w:p>
    <w:p w14:paraId="633397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8.5 电梯设备检测</w:t>
      </w:r>
    </w:p>
    <w:p w14:paraId="4D51AE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8.6设备设施管线老化及运行问题分析</w:t>
      </w:r>
    </w:p>
    <w:p w14:paraId="51A3AA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8.7数据采集与记录分析</w:t>
      </w:r>
    </w:p>
    <w:p w14:paraId="0EDB58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第九章 环境</w:t>
      </w:r>
    </w:p>
    <w:p w14:paraId="0FE105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9.1资料核查</w:t>
      </w:r>
    </w:p>
    <w:p w14:paraId="4693FF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9.2室内环境要素剖析</w:t>
      </w:r>
    </w:p>
    <w:p w14:paraId="36ACB7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9.3室内环境对特定人群健康的影响差异</w:t>
      </w:r>
    </w:p>
    <w:p w14:paraId="1B169C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9.4室内环境主要指标检测</w:t>
      </w:r>
    </w:p>
    <w:p w14:paraId="4D729D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9.5数据采集与记录分析</w:t>
      </w:r>
    </w:p>
    <w:p w14:paraId="410E3D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第十章 建筑防火</w:t>
      </w:r>
    </w:p>
    <w:p w14:paraId="5A4A2A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10.1资料核查</w:t>
      </w:r>
    </w:p>
    <w:p w14:paraId="6A4732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10.2消防供电与电气系统类</w:t>
      </w:r>
    </w:p>
    <w:p w14:paraId="485742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10.3消防给水与灭火系统类</w:t>
      </w:r>
    </w:p>
    <w:p w14:paraId="56999B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10.4防烟排烟与防火分隔类</w:t>
      </w:r>
    </w:p>
    <w:p w14:paraId="5DDCA8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10.5建筑防火与救援设施类</w:t>
      </w:r>
    </w:p>
    <w:p w14:paraId="754814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第十一章 建筑防雷</w:t>
      </w:r>
    </w:p>
    <w:p w14:paraId="69513F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11.1资料核查</w:t>
      </w:r>
    </w:p>
    <w:p w14:paraId="6D0A6A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11.2外部防雷装置检查</w:t>
      </w:r>
    </w:p>
    <w:p w14:paraId="43A3A8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11.3内部防雷装置检查</w:t>
      </w:r>
    </w:p>
    <w:p w14:paraId="788723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11.4数据采集与分析</w:t>
      </w:r>
    </w:p>
    <w:p w14:paraId="7359DD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第十二章 体检报告编写规范要求</w:t>
      </w:r>
    </w:p>
    <w:p w14:paraId="598DC8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12.1体检报告的规范化编写</w:t>
      </w:r>
    </w:p>
    <w:p w14:paraId="2F49D6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12.2问题描述</w:t>
      </w:r>
    </w:p>
    <w:p w14:paraId="3EA9D8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12.3解决方案建议</w:t>
      </w:r>
    </w:p>
    <w:p w14:paraId="14F039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12.4环境问题解决方案</w:t>
      </w:r>
    </w:p>
    <w:p w14:paraId="5ED9A5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第十三章 案例分析</w:t>
      </w:r>
    </w:p>
    <w:p w14:paraId="5EAE47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13.1常见问题与案例分析（国内案例）</w:t>
      </w:r>
    </w:p>
    <w:p w14:paraId="5EF283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13.2常见问题与案例分析（国际案例）</w:t>
      </w:r>
    </w:p>
    <w:p w14:paraId="18ADC0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第十四章 安全知识与职业道德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ab/>
      </w:r>
    </w:p>
    <w:p w14:paraId="5CD0B0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14.1安全知识</w:t>
      </w:r>
    </w:p>
    <w:p w14:paraId="4D10FA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14.2职业道德</w:t>
      </w:r>
    </w:p>
    <w:p w14:paraId="1F79B4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结语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</w:p>
    <w:p w14:paraId="1B1BA2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AI在房屋体检中的应用与展望</w:t>
      </w:r>
    </w:p>
    <w:p w14:paraId="0E3F894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报名条件</w:t>
      </w:r>
    </w:p>
    <w:p w14:paraId="36812C80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凡遵纪守法，并符合下列条件之一者，可申请参加《房屋体检师》专项能力培训：​</w:t>
      </w:r>
    </w:p>
    <w:p w14:paraId="1494F29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1.从事验房、监理、房地产、装饰装修、建材、房屋维修、房屋设计、建筑施工、工程检验检测、质量监督、房产中介、物业管理等相关行业工作；​</w:t>
      </w:r>
    </w:p>
    <w:p w14:paraId="312B0DEE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2.具备建筑类、房屋设计类、物业管理类大专及以上学历；</w:t>
      </w:r>
      <w:bookmarkStart w:id="0" w:name="_GoBack"/>
      <w:bookmarkEnd w:id="0"/>
    </w:p>
    <w:p w14:paraId="5BC22818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3.房屋体检相关专业在校学生。</w:t>
      </w:r>
    </w:p>
    <w:p w14:paraId="4289093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培训方式</w:t>
      </w:r>
    </w:p>
    <w:p w14:paraId="1E3478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《房屋体检师》专项能力培训采取统一学习平台，在线上录播视频授课；</w:t>
      </w:r>
    </w:p>
    <w:p w14:paraId="5DF6EC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考前培训课时数量：39课时（考前学习时长达标者可参加房屋体检师专项能力考试）</w:t>
      </w:r>
    </w:p>
    <w:p w14:paraId="64E4402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考试安排及考试形式</w:t>
      </w:r>
    </w:p>
    <w:p w14:paraId="237D4A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考试安排：</w:t>
      </w:r>
    </w:p>
    <w:p w14:paraId="18AA29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房屋体检师考试实行统一大纲、统一命题、统一组织的考试制度，原则上每年举行4次考试，分别在3月份、6月份、9月份、12月份第四周周末，考试时间为120分钟。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（具体考试时间以通知为准）</w:t>
      </w:r>
    </w:p>
    <w:p w14:paraId="52F5CE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考试形式：</w:t>
      </w:r>
    </w:p>
    <w:p w14:paraId="3AFF41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房屋体检师考试为线上考试，考试题型为多选题、单选题、判断题三种类型。总分100分，不低于80分为合格。</w:t>
      </w:r>
    </w:p>
    <w:p w14:paraId="6D6FF0B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证书查询</w:t>
      </w:r>
    </w:p>
    <w:p w14:paraId="7A7321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经培训完成后并考试合格者，由中国灾害防御协会颁发《房屋体检师》专项能力证书。可通过中国灾害防御协会官网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http://www.zaihai.cn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查验。</w:t>
      </w:r>
    </w:p>
    <w:p w14:paraId="2DDFF1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证书样本：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详见附件1</w:t>
      </w:r>
    </w:p>
    <w:p w14:paraId="034DB90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颁证单位</w:t>
      </w:r>
    </w:p>
    <w:p w14:paraId="57BFCE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中国灾害防御协会（China Association for Disaster Prevention, CADP）成立于1987年，是经民政部登记注册的全国性综合社会团体，业务指导单位为应急管理部，党建领导机关为中央和国家机关工委。协会以“广泛团结全国从事灾害预测、预防、救助、重建等工作的管理干部、科技人员及支持减灾事业的各界人士”为宗旨，聚焦重大灾害成因、预测、预防及灾后发展研究，致力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增强</w:t>
      </w:r>
      <w:r>
        <w:rPr>
          <w:rFonts w:hint="eastAsia" w:ascii="仿宋_GB2312" w:hAnsi="仿宋_GB2312" w:eastAsia="仿宋_GB2312" w:cs="仿宋_GB2312"/>
          <w:sz w:val="32"/>
          <w:szCs w:val="32"/>
        </w:rPr>
        <w:t>全社会减灾意识与防抗救灾能力。</w:t>
      </w:r>
    </w:p>
    <w:p w14:paraId="601183E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收费标准</w:t>
      </w:r>
    </w:p>
    <w:p w14:paraId="1AFDAD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《房屋体检师》专项能力培训市场指导价为4980元/人。</w:t>
      </w:r>
    </w:p>
    <w:p w14:paraId="2E45FBC5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联系人：杨鹏飞</w:t>
      </w:r>
    </w:p>
    <w:p w14:paraId="4DD88CFB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电  话：010-56538990、13009767118</w:t>
      </w:r>
    </w:p>
    <w:p w14:paraId="07A55F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</w:t>
      </w:r>
    </w:p>
    <w:p w14:paraId="6E5D48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附件1：证书样本</w:t>
      </w:r>
    </w:p>
    <w:p w14:paraId="0BB74F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left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附件2：房屋体检师专项能力培训报名回执表</w:t>
      </w:r>
    </w:p>
    <w:p w14:paraId="127C6DAC">
      <w:pPr>
        <w:spacing w:line="360" w:lineRule="auto"/>
        <w:ind w:firstLine="420"/>
        <w:rPr>
          <w:rFonts w:hint="eastAsia" w:ascii="仿宋" w:hAnsi="仿宋" w:eastAsia="仿宋" w:cs="仿宋"/>
          <w:sz w:val="24"/>
        </w:rPr>
      </w:pPr>
    </w:p>
    <w:p w14:paraId="4A8813EF">
      <w:pPr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br w:type="page"/>
      </w:r>
    </w:p>
    <w:p w14:paraId="6171975B">
      <w:pPr>
        <w:spacing w:line="360" w:lineRule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附件1</w:t>
      </w:r>
    </w:p>
    <w:p w14:paraId="5DC86E99"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drawing>
          <wp:inline distT="0" distB="0" distL="114300" distR="114300">
            <wp:extent cx="4904740" cy="3528060"/>
            <wp:effectExtent l="0" t="0" r="635" b="5715"/>
            <wp:docPr id="1" name="图片 1" descr="75693bc6cb41b909636e4af02daf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5693bc6cb41b909636e4af02daf2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E6FEA">
      <w:pPr>
        <w:pStyle w:val="2"/>
        <w:rPr>
          <w:rFonts w:hint="eastAsia"/>
        </w:rPr>
      </w:pPr>
    </w:p>
    <w:p w14:paraId="78F7B354">
      <w:pPr>
        <w:pStyle w:val="2"/>
        <w:ind w:left="0" w:firstLine="0" w:firstLineChars="0"/>
        <w:jc w:val="center"/>
        <w:rPr>
          <w:rFonts w:hint="eastAsia" w:hAnsi="仿宋" w:cs="仿宋"/>
        </w:rPr>
      </w:pPr>
      <w:r>
        <w:rPr>
          <w:rFonts w:hint="eastAsia" w:hAnsi="仿宋" w:cs="仿宋"/>
        </w:rPr>
        <w:drawing>
          <wp:inline distT="0" distB="0" distL="0" distR="0">
            <wp:extent cx="4903470" cy="3528060"/>
            <wp:effectExtent l="0" t="0" r="1905" b="5715"/>
            <wp:docPr id="17820542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5420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79088">
      <w:pPr>
        <w:pStyle w:val="2"/>
        <w:ind w:firstLine="480"/>
        <w:rPr>
          <w:rFonts w:hint="eastAsia" w:hAnsi="仿宋" w:cs="仿宋"/>
        </w:rPr>
      </w:pPr>
    </w:p>
    <w:p w14:paraId="2460845B"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drawing>
          <wp:inline distT="0" distB="0" distL="114300" distR="114300">
            <wp:extent cx="4903470" cy="3528060"/>
            <wp:effectExtent l="0" t="0" r="1905" b="5715"/>
            <wp:docPr id="3" name="图片 3" descr="f7349376a0153b269477a2db7945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7349376a0153b269477a2db7945a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C9CD9">
      <w:pPr>
        <w:pStyle w:val="2"/>
        <w:rPr>
          <w:rFonts w:hint="eastAsia" w:ascii="仿宋" w:hAnsi="仿宋" w:eastAsia="仿宋" w:cs="仿宋"/>
          <w:b/>
          <w:bCs/>
          <w:sz w:val="24"/>
        </w:rPr>
      </w:pPr>
    </w:p>
    <w:p w14:paraId="4A7ECCC8">
      <w:pPr>
        <w:pStyle w:val="2"/>
        <w:rPr>
          <w:rFonts w:hint="eastAsia" w:ascii="仿宋" w:hAnsi="仿宋" w:eastAsia="仿宋" w:cs="仿宋"/>
          <w:b/>
          <w:bCs/>
          <w:sz w:val="24"/>
        </w:rPr>
      </w:pPr>
    </w:p>
    <w:p w14:paraId="25C24D75">
      <w:pPr>
        <w:pStyle w:val="2"/>
        <w:ind w:left="0" w:firstLine="0" w:firstLineChars="0"/>
        <w:jc w:val="center"/>
        <w:rPr>
          <w:rFonts w:hint="eastAsia" w:hAnsi="仿宋" w:cs="仿宋"/>
        </w:rPr>
      </w:pPr>
      <w:r>
        <w:rPr>
          <w:rFonts w:hint="eastAsia" w:hAnsi="仿宋" w:cs="仿宋"/>
        </w:rPr>
        <w:drawing>
          <wp:inline distT="0" distB="0" distL="0" distR="0">
            <wp:extent cx="4903470" cy="3528060"/>
            <wp:effectExtent l="0" t="0" r="1905" b="5715"/>
            <wp:docPr id="13440895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08959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25666">
      <w:pPr>
        <w:rPr>
          <w:rFonts w:hint="eastAsia"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br w:type="page"/>
      </w:r>
    </w:p>
    <w:p w14:paraId="0259592E">
      <w:pPr>
        <w:spacing w:line="360" w:lineRule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附件2</w:t>
      </w:r>
    </w:p>
    <w:p w14:paraId="38BEF02F">
      <w:pPr>
        <w:spacing w:line="48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  <w:t>房屋体检师专项能力培训报名回执表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4"/>
        <w:gridCol w:w="921"/>
        <w:gridCol w:w="977"/>
        <w:gridCol w:w="1078"/>
        <w:gridCol w:w="1018"/>
        <w:gridCol w:w="505"/>
        <w:gridCol w:w="707"/>
        <w:gridCol w:w="1772"/>
      </w:tblGrid>
      <w:tr w14:paraId="476E4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44" w:type="dxa"/>
            <w:vAlign w:val="center"/>
          </w:tcPr>
          <w:p w14:paraId="101116F1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  <w:t>单位名称</w:t>
            </w:r>
          </w:p>
        </w:tc>
        <w:tc>
          <w:tcPr>
            <w:tcW w:w="3994" w:type="dxa"/>
            <w:gridSpan w:val="4"/>
            <w:vAlign w:val="center"/>
          </w:tcPr>
          <w:p w14:paraId="7AA9DA30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</w:p>
        </w:tc>
        <w:tc>
          <w:tcPr>
            <w:tcW w:w="1212" w:type="dxa"/>
            <w:gridSpan w:val="2"/>
            <w:vAlign w:val="center"/>
          </w:tcPr>
          <w:p w14:paraId="61245DF2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  <w:t>邮  编</w:t>
            </w:r>
          </w:p>
        </w:tc>
        <w:tc>
          <w:tcPr>
            <w:tcW w:w="1772" w:type="dxa"/>
            <w:vAlign w:val="center"/>
          </w:tcPr>
          <w:p w14:paraId="4B34E627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</w:p>
        </w:tc>
      </w:tr>
      <w:tr w14:paraId="6AF59E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44" w:type="dxa"/>
            <w:vAlign w:val="center"/>
          </w:tcPr>
          <w:p w14:paraId="6D85E848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  <w:t>通讯地址</w:t>
            </w:r>
          </w:p>
        </w:tc>
        <w:tc>
          <w:tcPr>
            <w:tcW w:w="6978" w:type="dxa"/>
            <w:gridSpan w:val="7"/>
            <w:vAlign w:val="center"/>
          </w:tcPr>
          <w:p w14:paraId="452D03BF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</w:p>
        </w:tc>
      </w:tr>
      <w:tr w14:paraId="1A013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44" w:type="dxa"/>
            <w:vAlign w:val="center"/>
          </w:tcPr>
          <w:p w14:paraId="6BC73A6D">
            <w:pPr>
              <w:spacing w:line="520" w:lineRule="exact"/>
              <w:jc w:val="distribute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  <w:t>联系人</w:t>
            </w:r>
          </w:p>
        </w:tc>
        <w:tc>
          <w:tcPr>
            <w:tcW w:w="1898" w:type="dxa"/>
            <w:gridSpan w:val="2"/>
            <w:vAlign w:val="center"/>
          </w:tcPr>
          <w:p w14:paraId="55196002">
            <w:pPr>
              <w:spacing w:line="520" w:lineRule="exact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</w:p>
        </w:tc>
        <w:tc>
          <w:tcPr>
            <w:tcW w:w="1078" w:type="dxa"/>
            <w:vAlign w:val="center"/>
          </w:tcPr>
          <w:p w14:paraId="498502AB">
            <w:pPr>
              <w:spacing w:line="520" w:lineRule="exact"/>
              <w:jc w:val="distribute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  <w:t>邮箱</w:t>
            </w:r>
          </w:p>
        </w:tc>
        <w:tc>
          <w:tcPr>
            <w:tcW w:w="4002" w:type="dxa"/>
            <w:gridSpan w:val="4"/>
            <w:vAlign w:val="center"/>
          </w:tcPr>
          <w:p w14:paraId="0EC44113">
            <w:pPr>
              <w:spacing w:line="520" w:lineRule="exact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</w:p>
        </w:tc>
      </w:tr>
      <w:tr w14:paraId="31315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44" w:type="dxa"/>
            <w:vAlign w:val="center"/>
          </w:tcPr>
          <w:p w14:paraId="3CEA59E4">
            <w:pPr>
              <w:spacing w:line="520" w:lineRule="exact"/>
              <w:jc w:val="distribute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  <w:t>电话</w:t>
            </w:r>
          </w:p>
        </w:tc>
        <w:tc>
          <w:tcPr>
            <w:tcW w:w="1898" w:type="dxa"/>
            <w:gridSpan w:val="2"/>
            <w:vAlign w:val="center"/>
          </w:tcPr>
          <w:p w14:paraId="058742E5">
            <w:pPr>
              <w:spacing w:line="520" w:lineRule="exact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</w:p>
        </w:tc>
        <w:tc>
          <w:tcPr>
            <w:tcW w:w="1078" w:type="dxa"/>
            <w:vAlign w:val="center"/>
          </w:tcPr>
          <w:p w14:paraId="311DEE1C">
            <w:pPr>
              <w:spacing w:line="520" w:lineRule="exact"/>
              <w:jc w:val="distribute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  <w:t>传真</w:t>
            </w:r>
          </w:p>
        </w:tc>
        <w:tc>
          <w:tcPr>
            <w:tcW w:w="4002" w:type="dxa"/>
            <w:gridSpan w:val="4"/>
            <w:vAlign w:val="center"/>
          </w:tcPr>
          <w:p w14:paraId="6444745F">
            <w:pPr>
              <w:spacing w:line="520" w:lineRule="exact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</w:p>
        </w:tc>
      </w:tr>
      <w:tr w14:paraId="08D2B1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44" w:type="dxa"/>
            <w:vAlign w:val="center"/>
          </w:tcPr>
          <w:p w14:paraId="4CC89021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  <w:t>学员姓名</w:t>
            </w:r>
          </w:p>
        </w:tc>
        <w:tc>
          <w:tcPr>
            <w:tcW w:w="921" w:type="dxa"/>
            <w:vAlign w:val="center"/>
          </w:tcPr>
          <w:p w14:paraId="454E18C1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  <w:t>性别</w:t>
            </w:r>
          </w:p>
        </w:tc>
        <w:tc>
          <w:tcPr>
            <w:tcW w:w="977" w:type="dxa"/>
            <w:vAlign w:val="center"/>
          </w:tcPr>
          <w:p w14:paraId="60188AFD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  <w:t>部门</w:t>
            </w:r>
          </w:p>
        </w:tc>
        <w:tc>
          <w:tcPr>
            <w:tcW w:w="1078" w:type="dxa"/>
            <w:vAlign w:val="center"/>
          </w:tcPr>
          <w:p w14:paraId="2898F4D0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  <w:t>职务</w:t>
            </w:r>
          </w:p>
        </w:tc>
        <w:tc>
          <w:tcPr>
            <w:tcW w:w="1523" w:type="dxa"/>
            <w:gridSpan w:val="2"/>
            <w:vAlign w:val="center"/>
          </w:tcPr>
          <w:p w14:paraId="0EF48E6E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  <w:t>手机</w:t>
            </w:r>
          </w:p>
        </w:tc>
        <w:tc>
          <w:tcPr>
            <w:tcW w:w="2479" w:type="dxa"/>
            <w:gridSpan w:val="2"/>
            <w:vAlign w:val="center"/>
          </w:tcPr>
          <w:p w14:paraId="5708D4A5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  <w:t>身份证号</w:t>
            </w:r>
          </w:p>
        </w:tc>
      </w:tr>
      <w:tr w14:paraId="1D5E08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544" w:type="dxa"/>
          </w:tcPr>
          <w:p w14:paraId="15E1399E">
            <w:pPr>
              <w:spacing w:line="520" w:lineRule="exact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</w:p>
        </w:tc>
        <w:tc>
          <w:tcPr>
            <w:tcW w:w="921" w:type="dxa"/>
          </w:tcPr>
          <w:p w14:paraId="7C6C2FF2">
            <w:pPr>
              <w:spacing w:line="520" w:lineRule="exact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</w:p>
        </w:tc>
        <w:tc>
          <w:tcPr>
            <w:tcW w:w="977" w:type="dxa"/>
          </w:tcPr>
          <w:p w14:paraId="5D78570A">
            <w:pPr>
              <w:spacing w:line="520" w:lineRule="exact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</w:p>
        </w:tc>
        <w:tc>
          <w:tcPr>
            <w:tcW w:w="1078" w:type="dxa"/>
          </w:tcPr>
          <w:p w14:paraId="6CB00BD9">
            <w:pPr>
              <w:spacing w:line="520" w:lineRule="exact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</w:p>
        </w:tc>
        <w:tc>
          <w:tcPr>
            <w:tcW w:w="1523" w:type="dxa"/>
            <w:gridSpan w:val="2"/>
          </w:tcPr>
          <w:p w14:paraId="38C36F48">
            <w:pPr>
              <w:spacing w:line="520" w:lineRule="exact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</w:p>
        </w:tc>
        <w:tc>
          <w:tcPr>
            <w:tcW w:w="2479" w:type="dxa"/>
            <w:gridSpan w:val="2"/>
          </w:tcPr>
          <w:p w14:paraId="3C90E2EA">
            <w:pPr>
              <w:spacing w:line="520" w:lineRule="exact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</w:p>
        </w:tc>
      </w:tr>
      <w:tr w14:paraId="3D0D1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1" w:hRule="exact"/>
          <w:jc w:val="center"/>
        </w:trPr>
        <w:tc>
          <w:tcPr>
            <w:tcW w:w="1544" w:type="dxa"/>
            <w:vAlign w:val="center"/>
          </w:tcPr>
          <w:p w14:paraId="3B8AE364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  <w:t>报名方式</w:t>
            </w:r>
          </w:p>
        </w:tc>
        <w:tc>
          <w:tcPr>
            <w:tcW w:w="6978" w:type="dxa"/>
            <w:gridSpan w:val="7"/>
            <w:vAlign w:val="center"/>
          </w:tcPr>
          <w:p w14:paraId="5A42503D">
            <w:pPr>
              <w:spacing w:line="520" w:lineRule="exact"/>
              <w:jc w:val="center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0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sz w:val="24"/>
                <w:szCs w:val="20"/>
              </w:rPr>
              <w:t xml:space="preserve">相关邀请        </w:t>
            </w:r>
            <w:r>
              <w:rPr>
                <w:rFonts w:hint="eastAsia" w:ascii="仿宋_GB2312" w:hAnsi="仿宋_GB2312" w:eastAsia="仿宋_GB2312" w:cs="仿宋_GB2312"/>
                <w:sz w:val="24"/>
                <w:szCs w:val="20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sz w:val="24"/>
                <w:szCs w:val="20"/>
              </w:rPr>
              <w:t xml:space="preserve">单位推荐        </w:t>
            </w:r>
            <w:r>
              <w:rPr>
                <w:rFonts w:hint="eastAsia" w:ascii="仿宋_GB2312" w:hAnsi="仿宋_GB2312" w:eastAsia="仿宋_GB2312" w:cs="仿宋_GB2312"/>
                <w:sz w:val="24"/>
                <w:szCs w:val="20"/>
              </w:rPr>
              <w:sym w:font="Wingdings" w:char="00A8"/>
            </w:r>
            <w:r>
              <w:rPr>
                <w:rFonts w:hint="eastAsia" w:ascii="仿宋_GB2312" w:hAnsi="仿宋_GB2312" w:eastAsia="仿宋_GB2312" w:cs="仿宋_GB2312"/>
                <w:sz w:val="24"/>
                <w:szCs w:val="20"/>
              </w:rPr>
              <w:t>自我推荐</w:t>
            </w:r>
          </w:p>
        </w:tc>
      </w:tr>
      <w:tr w14:paraId="0B6C2D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9" w:hRule="atLeast"/>
          <w:jc w:val="center"/>
        </w:trPr>
        <w:tc>
          <w:tcPr>
            <w:tcW w:w="8522" w:type="dxa"/>
            <w:gridSpan w:val="8"/>
          </w:tcPr>
          <w:p w14:paraId="3A37D827">
            <w:pPr>
              <w:spacing w:before="156" w:beforeLines="50" w:line="520" w:lineRule="exact"/>
              <w:ind w:firstLine="560" w:firstLineChars="200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  <w:t>培训学员对该项培训的建议（可另附）：</w:t>
            </w:r>
          </w:p>
        </w:tc>
      </w:tr>
      <w:tr w14:paraId="151C6D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22" w:type="dxa"/>
            <w:gridSpan w:val="8"/>
          </w:tcPr>
          <w:p w14:paraId="502419EE">
            <w:pPr>
              <w:spacing w:before="156" w:beforeLines="50" w:line="560" w:lineRule="exact"/>
              <w:ind w:firstLine="560" w:firstLineChars="200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  <w:t>声明：本人郑重承诺上述报名回执表内容属实，并自愿参加中国灾害防御协会组织开展的</w:t>
            </w:r>
            <w:r>
              <w:rPr>
                <w:rFonts w:hint="eastAsia" w:ascii="仿宋_GB2312" w:hAnsi="仿宋_GB2312" w:eastAsia="仿宋_GB2312" w:cs="仿宋_GB2312"/>
                <w:bCs/>
                <w:color w:val="000000"/>
                <w:kern w:val="0"/>
                <w:sz w:val="28"/>
                <w:szCs w:val="28"/>
              </w:rPr>
              <w:t>房屋体检师专项能力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培训工作</w:t>
            </w:r>
            <w:r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  <w:t>。</w:t>
            </w:r>
          </w:p>
          <w:p w14:paraId="353378C8">
            <w:pPr>
              <w:spacing w:line="560" w:lineRule="exact"/>
              <w:ind w:firstLine="2800" w:firstLineChars="1000"/>
              <w:rPr>
                <w:rFonts w:hint="eastAsia" w:ascii="仿宋_GB2312" w:hAnsi="仿宋_GB2312" w:eastAsia="仿宋_GB2312" w:cs="仿宋_GB2312"/>
                <w:sz w:val="20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  <w:t xml:space="preserve">单位盖章或学员签字：   </w:t>
            </w:r>
          </w:p>
          <w:p w14:paraId="12AD6242">
            <w:pPr>
              <w:spacing w:line="560" w:lineRule="exact"/>
              <w:ind w:firstLine="5600" w:firstLineChars="2000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</w:p>
          <w:p w14:paraId="209F2A09">
            <w:pPr>
              <w:spacing w:line="560" w:lineRule="exact"/>
              <w:ind w:firstLine="5600" w:firstLineChars="2000"/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Cs/>
                <w:kern w:val="0"/>
                <w:sz w:val="28"/>
                <w:szCs w:val="28"/>
              </w:rPr>
              <w:t>年   月   日</w:t>
            </w:r>
          </w:p>
        </w:tc>
      </w:tr>
    </w:tbl>
    <w:p w14:paraId="7EA611C6">
      <w:pPr>
        <w:spacing w:line="360" w:lineRule="auto"/>
        <w:jc w:val="both"/>
        <w:rPr>
          <w:rFonts w:hint="eastAsia" w:ascii="仿宋" w:hAnsi="仿宋" w:eastAsia="仿宋" w:cs="仿宋"/>
          <w:b/>
          <w:bCs/>
          <w:sz w:val="24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98AF454-0EB1-43BA-8D9D-83DF48CF66E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EC10468B-5517-40AA-BC14-A6C3B916A11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BDD1B172-0C2B-4169-89ED-8575364C826A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1DC00B3D-6435-404D-898C-388163321C5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A0579867-71A9-4981-B8B4-79F6C25ED33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26BDE7"/>
    <w:multiLevelType w:val="singleLevel"/>
    <w:tmpl w:val="AF26BDE7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RjMzMzNjU2OTY0M2E4MjljZjZjMjIzZGRjYTExMzAifQ=="/>
  </w:docVars>
  <w:rsids>
    <w:rsidRoot w:val="6C9C1000"/>
    <w:rsid w:val="0004560B"/>
    <w:rsid w:val="00090E59"/>
    <w:rsid w:val="001251CE"/>
    <w:rsid w:val="005F1B6E"/>
    <w:rsid w:val="00636560"/>
    <w:rsid w:val="0069133A"/>
    <w:rsid w:val="007C6435"/>
    <w:rsid w:val="00811A44"/>
    <w:rsid w:val="008D650F"/>
    <w:rsid w:val="00900F49"/>
    <w:rsid w:val="00B834F9"/>
    <w:rsid w:val="00E20CC0"/>
    <w:rsid w:val="00E97BCF"/>
    <w:rsid w:val="00EF5658"/>
    <w:rsid w:val="00F4615D"/>
    <w:rsid w:val="01345E86"/>
    <w:rsid w:val="0ABC2662"/>
    <w:rsid w:val="11091219"/>
    <w:rsid w:val="11493BBF"/>
    <w:rsid w:val="19AF56B4"/>
    <w:rsid w:val="1F173C0E"/>
    <w:rsid w:val="30E63D5B"/>
    <w:rsid w:val="39221BC6"/>
    <w:rsid w:val="46D87A30"/>
    <w:rsid w:val="47AC79EE"/>
    <w:rsid w:val="4C2956D1"/>
    <w:rsid w:val="4F5D6F6B"/>
    <w:rsid w:val="54C833A7"/>
    <w:rsid w:val="5A3601A9"/>
    <w:rsid w:val="5F4A5C25"/>
    <w:rsid w:val="65DC69E5"/>
    <w:rsid w:val="6C9C1000"/>
    <w:rsid w:val="6E13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autoRedefine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2E54A1" w:themeColor="accent1" w:themeShade="BF"/>
      <w:sz w:val="48"/>
      <w:szCs w:val="48"/>
    </w:rPr>
  </w:style>
  <w:style w:type="paragraph" w:styleId="5">
    <w:name w:val="heading 3"/>
    <w:basedOn w:val="1"/>
    <w:next w:val="1"/>
    <w:autoRedefine/>
    <w:semiHidden/>
    <w:unhideWhenUsed/>
    <w:qFormat/>
    <w:uiPriority w:val="0"/>
    <w:pPr>
      <w:keepNext/>
      <w:keepLines/>
      <w:spacing w:before="260" w:after="260" w:line="360" w:lineRule="auto"/>
      <w:outlineLvl w:val="2"/>
    </w:pPr>
    <w:rPr>
      <w:rFonts w:ascii="Calibri" w:hAnsi="Calibri" w:eastAsia="宋体" w:cs="Times New Roman"/>
      <w:b/>
      <w:sz w:val="30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99"/>
    <w:pPr>
      <w:tabs>
        <w:tab w:val="left" w:pos="-1440"/>
      </w:tabs>
      <w:ind w:firstLine="420"/>
    </w:pPr>
  </w:style>
  <w:style w:type="paragraph" w:styleId="3">
    <w:name w:val="Body Text Indent"/>
    <w:basedOn w:val="1"/>
    <w:qFormat/>
    <w:uiPriority w:val="0"/>
    <w:pPr>
      <w:tabs>
        <w:tab w:val="left" w:pos="-1440"/>
      </w:tabs>
      <w:spacing w:line="360" w:lineRule="auto"/>
      <w:ind w:left="176" w:firstLine="200" w:firstLineChars="200"/>
    </w:pPr>
    <w:rPr>
      <w:rFonts w:ascii="仿宋" w:eastAsia="仿宋"/>
      <w:sz w:val="24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rPr>
      <w:sz w:val="24"/>
    </w:rPr>
  </w:style>
  <w:style w:type="table" w:styleId="10">
    <w:name w:val="Table Grid"/>
    <w:basedOn w:val="9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page number"/>
    <w:qFormat/>
    <w:uiPriority w:val="0"/>
  </w:style>
  <w:style w:type="character" w:styleId="14">
    <w:name w:val="Emphasis"/>
    <w:basedOn w:val="11"/>
    <w:qFormat/>
    <w:uiPriority w:val="0"/>
    <w:rPr>
      <w:i/>
    </w:rPr>
  </w:style>
  <w:style w:type="character" w:styleId="15">
    <w:name w:val="Hyperlink"/>
    <w:basedOn w:val="11"/>
    <w:qFormat/>
    <w:uiPriority w:val="0"/>
    <w:rPr>
      <w:color w:val="0000FF"/>
      <w:u w:val="single"/>
    </w:rPr>
  </w:style>
  <w:style w:type="paragraph" w:styleId="16">
    <w:name w:val="List Paragraph"/>
    <w:basedOn w:val="1"/>
    <w:autoRedefine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3107</Words>
  <Characters>3382</Characters>
  <Lines>4</Lines>
  <Paragraphs>7</Paragraphs>
  <TotalTime>11</TotalTime>
  <ScaleCrop>false</ScaleCrop>
  <LinksUpToDate>false</LinksUpToDate>
  <CharactersWithSpaces>3413</CharactersWithSpaces>
  <Application>WPS Office_12.1.0.21915_F1E327BC-269C-435d-A152-05C5408002CA</Application>
  <DocSecurity>4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2025-07-17T08:54:00Z</dcterms:created>
  <dc:creator>楚凡</dc:creator>
  <cp:lastModifiedBy>Carpenter</cp:lastModifiedBy>
  <dcterms:modified xsi:type="dcterms:W3CDTF">2025-07-23T02:33:38Z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0AF80A31456242128A6CF4A1562B7D7A_13</vt:lpwstr>
  </property>
  <property fmtid="{D5CDD505-2E9C-101B-9397-08002B2CF9AE}" pid="4" name="KSOTemplateDocerSaveRecord">
    <vt:lpwstr>eyJoZGlkIjoiMjMyMmM4YjQ4MGMzYzE3Y2E5OTZjMWNkNjg4YzUyMzQiLCJ1c2VySWQiOiIyNzIwNzUzNTQifQ==</vt:lpwstr>
  </property>
</Properties>
</file>